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sz w:val="40"/>
          <w:szCs w:val="40"/>
        </w:rPr>
        <w:t xml:space="preserve">Omar M Hammouda</w:t>
      </w:r>
    </w:p>
    <w:p>
      <w:pPr>
        <w:spacing w:after="60"/>
        <w:jc w:val="center"/>
      </w:pPr>
      <w:hyperlink w:history="1" r:id="rId3wp8uzqhm_sfw3pti4_7k">
        <w:r>
          <w:rPr>
            <w:rStyle w:val="Hyperlink"/>
          </w:rPr>
          <w:t xml:space="preserve">omar@omarmhammouda.com</w:t>
        </w:r>
      </w:hyperlink>
      <w:r>
        <w:t xml:space="preserve">  │  </w:t>
      </w:r>
      <w:hyperlink w:history="1" r:id="rIdx-jrkmfx2ujcqjbiwub81">
        <w:r>
          <w:rPr>
            <w:rStyle w:val="Hyperlink"/>
          </w:rPr>
          <w:t xml:space="preserve">omarmhammouda.com</w:t>
        </w:r>
      </w:hyperlink>
      <w:r>
        <w:t xml:space="preserve">  │  </w:t>
      </w:r>
      <w:r>
        <w:t xml:space="preserve">201-881-6671</w:t>
      </w:r>
      <w:r>
        <w:t xml:space="preserve">  │  </w:t>
      </w:r>
      <w:r>
        <w:t xml:space="preserve">LinkedIn</w:t>
      </w:r>
      <w:r>
        <w:t xml:space="preserve">  │  </w:t>
      </w:r>
      <w:r>
        <w:t xml:space="preserve">Jersey City, NJ</w:t>
      </w:r>
    </w:p>
    <w:p>
      <w:pPr>
        <w:pBdr>
          <w:bottom w:val="single" w:color="1F3864" w:sz="8" w:space="2"/>
        </w:pBdr>
        <w:spacing w:after="70" w:before="140"/>
      </w:pPr>
      <w:r>
        <w:rPr>
          <w:b/>
          <w:bCs/>
          <w:caps/>
          <w:sz w:val="22"/>
          <w:szCs w:val="22"/>
        </w:rPr>
        <w:t xml:space="preserve">Summary</w:t>
      </w:r>
    </w:p>
    <w:p>
      <w:pPr>
        <w:spacing w:after="40"/>
      </w:pPr>
      <w:r>
        <w:rPr>
          <w:sz w:val="20"/>
          <w:szCs w:val="20"/>
        </w:rPr>
        <w:t xml:space="preserve">Seasoned UX/UI leader with 8+ years delivering user-centered fintech, SaaS, CRM, and e-commerce solutions that align design with business goals. Drove measurable results — a 75% engagement lift and 2x faster onboarding — through end-to-end strategy, accessibility, and data-informed design. Advanced HTML/CSS skills with hands-on Salesforce experience (Experience Cloud, Marketing Cloud, Lightning); expert in Figma, design systems, and cross-functional leadership, building scalable, WCAG-compliant interfaces.</w:t>
      </w:r>
    </w:p>
    <w:p>
      <w:pPr>
        <w:pBdr>
          <w:bottom w:val="single" w:color="1F3864" w:sz="8" w:space="2"/>
        </w:pBdr>
        <w:spacing w:after="70" w:before="140"/>
      </w:pPr>
      <w:r>
        <w:rPr>
          <w:b/>
          <w:bCs/>
          <w:caps/>
          <w:sz w:val="22"/>
          <w:szCs w:val="22"/>
        </w:rPr>
        <w:t xml:space="preserve">Professional Experience</w:t>
      </w:r>
    </w:p>
    <w:p>
      <w:pPr>
        <w:spacing w:after="10" w:before="40"/>
      </w:pPr>
      <w:r>
        <w:rPr>
          <w:b/>
          <w:bCs/>
          <w:sz w:val="21"/>
          <w:szCs w:val="21"/>
        </w:rPr>
        <w:t xml:space="preserve">Freelance UX/UI &amp; CRM Designer</w:t>
      </w:r>
    </w:p>
    <w:p>
      <w:pPr>
        <w:spacing w:after="30"/>
      </w:pPr>
      <w:r>
        <w:rPr>
          <w:b/>
          <w:bCs/>
          <w:sz w:val="21"/>
          <w:szCs w:val="21"/>
        </w:rPr>
        <w:t xml:space="preserve">Independent Consultant – Remote</w:t>
      </w:r>
      <w:r>
        <w:rPr>
          <w:b/>
          <w:bCs/>
          <w:sz w:val="21"/>
          <w:szCs w:val="21"/>
        </w:rPr>
        <w:ptab w:alignment="right" w:relativeTo="margin" w:leader="none"/>
        <w:t xml:space="preserve">Jan 2020 – Present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Design and deliver Salesforce Experience Cloud portals for freelance clients, owning the full lifecycle from requirements gathering and wireframing through high-fidelity prototyping to production-ready HTML/CSS within the platform's portal architecture.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Build modular, reusable content-block systems with supporting documentation that enable non-technical client teams to update, rearrange, and extend portal pages without developer support.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Design and code responsive, mobile-first HTML email templates in Salesforce Marketing Cloud, ensuring consistent rendering across devices and email clients while maintaining each client's brand standards.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Create Lightning app interfaces aligned with the Salesforce Lightning Design System (SLDS), keeping internal tools consistent, intuitive, and accessible.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Deliver WCAG-compliant work end to end, using HTML/CSS, JavaScript, Liquid templating, and SQL to bridge design and implementation for lean client teams.</w:t>
      </w:r>
    </w:p>
    <w:p>
      <w:pPr>
        <w:spacing w:after="10" w:before="150"/>
      </w:pPr>
      <w:r>
        <w:rPr>
          <w:b/>
          <w:bCs/>
          <w:sz w:val="21"/>
          <w:szCs w:val="21"/>
        </w:rPr>
        <w:t xml:space="preserve">Lead UX/UI Designer</w:t>
      </w:r>
    </w:p>
    <w:p>
      <w:pPr>
        <w:spacing w:after="30"/>
      </w:pPr>
      <w:r>
        <w:rPr>
          <w:b/>
          <w:bCs/>
          <w:sz w:val="21"/>
          <w:szCs w:val="21"/>
        </w:rPr>
        <w:t xml:space="preserve">Verisk – Jersey City, NJ</w:t>
      </w:r>
      <w:r>
        <w:rPr>
          <w:b/>
          <w:bCs/>
          <w:sz w:val="21"/>
          <w:szCs w:val="21"/>
        </w:rPr>
        <w:ptab w:alignment="right" w:relativeTo="margin" w:leader="none"/>
        <w:t xml:space="preserve">Sept 2025 – Jan 2026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Co-led the end-to-end UX strategy for a large-scale commercial property insurance platform modernization, focused on reskinning and re-architecting the user experience after a 14-year gap since the last major update, ensuring the product met modern usability, accessibility, and scalability standards.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Led a mixed-methods research initiative, surveying over 20,000 users and conducting 50 moderated user interviews to uncover critical usability gaps, workflow inefficiencies, and trust issues impacting broker and internal user adoption.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Executed competitive and heuristic audits within the commercial insurance space, refining personas and information architecture to prioritize high-impact features and streamline complex, regulation-driven workflows.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Partnered closely with product, engineering, compliance, and marketing stakeholders to align UX improvements with regulatory requirements, business goals, and customer acquisition and retention KPIs.</w:t>
      </w:r>
    </w:p>
    <w:p>
      <w:pPr>
        <w:spacing w:after="10" w:before="150"/>
      </w:pPr>
      <w:r>
        <w:rPr>
          <w:b/>
          <w:bCs/>
          <w:sz w:val="21"/>
          <w:szCs w:val="21"/>
        </w:rPr>
        <w:t xml:space="preserve">Senior UX/UI Designer</w:t>
      </w:r>
    </w:p>
    <w:p>
      <w:pPr>
        <w:spacing w:after="30"/>
      </w:pPr>
      <w:r>
        <w:rPr>
          <w:b/>
          <w:bCs/>
          <w:sz w:val="21"/>
          <w:szCs w:val="21"/>
        </w:rPr>
        <w:t xml:space="preserve">Fiserv – Berkeley Heights, NJ</w:t>
      </w:r>
      <w:r>
        <w:rPr>
          <w:b/>
          <w:bCs/>
          <w:sz w:val="21"/>
          <w:szCs w:val="21"/>
        </w:rPr>
        <w:ptab w:alignment="right" w:relativeTo="margin" w:leader="none"/>
        <w:t xml:space="preserve">Sept 2023 – Mar 2025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Drove a 75% increase in user engagement and halved user onboarding time through strategic UX optimizations and targeted interface redesign.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Collaborated closely with analytics and research teams to synthesize user behavior data and NPS feedback, translating insights into actionable UX strategies and roadmap decisions.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Spearheaded the end-to-end UX design of a high-impact, enterprise-grade bill pay platform serving over 100,000 B2B and B2C users, enhancing usability and cross-platform consistency.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Orchestrated the entire design lifecycle from stakeholder alignment and discovery workshops to iterative prototyping, moderated usability testing, and seamless design-to-dev handoff.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Built and deployed a scalable, modular design system in Figma, standardizing UI components across product lines and reducing development turnaround by 40%.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Led an enterprise-wide accessibility overhaul, aligning all digital interfaces with WCAG 2.1 AA standards and securing full ADA compliance across multiple core offerings.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Led cross-functional design critiques and mentored junior designers, fostering a culture of collaboration, design excellence, and continuous learning.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Guided product teams on UX best practices, improving design maturity and influencing decision-making across engineering and business stakeholders.</w:t>
      </w:r>
    </w:p>
    <w:p>
      <w:pPr>
        <w:spacing w:after="10" w:before="150"/>
      </w:pPr>
      <w:r>
        <w:rPr>
          <w:b/>
          <w:bCs/>
          <w:sz w:val="21"/>
          <w:szCs w:val="21"/>
        </w:rPr>
        <w:t xml:space="preserve">UX/UI Designer</w:t>
      </w:r>
    </w:p>
    <w:p>
      <w:pPr>
        <w:spacing w:after="30"/>
      </w:pPr>
      <w:r>
        <w:rPr>
          <w:b/>
          <w:bCs/>
          <w:sz w:val="21"/>
          <w:szCs w:val="21"/>
        </w:rPr>
        <w:t xml:space="preserve">Millennium Systems International – Parsippany, NJ</w:t>
      </w:r>
      <w:r>
        <w:rPr>
          <w:b/>
          <w:bCs/>
          <w:sz w:val="21"/>
          <w:szCs w:val="21"/>
        </w:rPr>
        <w:ptab w:alignment="right" w:relativeTo="margin" w:leader="none"/>
        <w:t xml:space="preserve">Oct 2021 – Jan 2023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Co-led the end-to-end UX strategy for a next-generation SaaS POS platform tailored to the salon and spa industry, delivering a scalable, intuitive solution that addressed both business and end-user needs.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Designed and optimized comprehensive user journeys and onboarding workflows, resulting in a 20% decrease in time-to-first-transaction and significantly enhancing early user engagement.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Executed in-depth competitive audits and refined user personas to strategically inform information architecture and drive high-impact feature prioritization decisions.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Developed a fully responsive, reusable UI component library in Figma, accelerating design workflows, minimizing QA rework, and improving cross-functional alignment with development teams.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Partnered with marketing and product stakeholders to ensure a cohesive product experience that directly supported customer acquisition and retention KPIs.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Contributed to a 15% uplift in client retention by aligning design enhancements with customer experience insights and driving meaningful improvements across the user lifecycle.</w:t>
      </w:r>
    </w:p>
    <w:p>
      <w:pPr>
        <w:spacing w:after="10" w:before="150"/>
      </w:pPr>
      <w:r>
        <w:rPr>
          <w:b/>
          <w:bCs/>
          <w:sz w:val="21"/>
          <w:szCs w:val="21"/>
        </w:rPr>
        <w:t xml:space="preserve">UX/UI Designer</w:t>
      </w:r>
    </w:p>
    <w:p>
      <w:pPr>
        <w:spacing w:after="30"/>
      </w:pPr>
      <w:r>
        <w:rPr>
          <w:b/>
          <w:bCs/>
          <w:sz w:val="21"/>
          <w:szCs w:val="21"/>
        </w:rPr>
        <w:t xml:space="preserve">Windows and Doors Inc – Pompton Lakes, NJ</w:t>
      </w:r>
      <w:r>
        <w:rPr>
          <w:b/>
          <w:bCs/>
          <w:sz w:val="21"/>
          <w:szCs w:val="21"/>
        </w:rPr>
        <w:ptab w:alignment="right" w:relativeTo="margin" w:leader="none"/>
        <w:t xml:space="preserve">Jul 2019 – Jan 2020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Achieved a 39% reduction in bounce rate and a 30% increase in mobile session duration by streamlining navigation, refining UX flows, and optimizing for mobile responsiveness.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Led the end-to-end redesign of an e-commerce website with a focus on enhancing conversion rates and long-term user retention across desktop and mobile platforms.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Conducted live usability testing and analyzed Hotjar session recordings to uncover key friction points in the checkout experience, directly informing data-driven design decisions.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Developed and delivered high-fidelity interactive prototypes using Axure and InVision, securing stakeholder alignment and enabling seamless design-to-development handoff.</w:t>
      </w:r>
    </w:p>
    <w:p>
      <w:pPr>
        <w:spacing w:after="10" w:before="150"/>
      </w:pPr>
      <w:r>
        <w:rPr>
          <w:b/>
          <w:bCs/>
          <w:sz w:val="21"/>
          <w:szCs w:val="21"/>
        </w:rPr>
        <w:t xml:space="preserve">UX/UI Designer</w:t>
      </w:r>
    </w:p>
    <w:p>
      <w:pPr>
        <w:spacing w:after="30"/>
      </w:pPr>
      <w:r>
        <w:rPr>
          <w:b/>
          <w:bCs/>
          <w:sz w:val="21"/>
          <w:szCs w:val="21"/>
        </w:rPr>
        <w:t xml:space="preserve">Porcelanosa – Ramsey, NJ</w:t>
      </w:r>
      <w:r>
        <w:rPr>
          <w:b/>
          <w:bCs/>
          <w:sz w:val="21"/>
          <w:szCs w:val="21"/>
        </w:rPr>
        <w:ptab w:alignment="right" w:relativeTo="margin" w:leader="none"/>
        <w:t xml:space="preserve">Jun 2018 – Jul 2019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Led UX design initiatives for a luxury e-commerce and marketing platform, ensuring a seamless fusion of premium aesthetics and high-performance functionality across all digital touchpoints.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Engineered modular grid systems and scalable UI kits, resulting in a 27% improvement in site load times and significantly enhancing responsive content adaptability across devices.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Crafted high-fidelity wireframes and visual designs that reflected the brand's upscale identity, maintaining consistency in tone, typography, and user interaction.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sz w:val="20"/>
          <w:szCs w:val="20"/>
        </w:rPr>
        <w:t xml:space="preserve">Collaborated cross-functionally with marketing and development teams to launch interactive digital lookbooks, driving a 21% increase in user engagement and strengthening the brand's storytelling through immersive design.</w:t>
      </w:r>
    </w:p>
    <w:p>
      <w:pPr>
        <w:pBdr>
          <w:bottom w:val="single" w:color="1F3864" w:sz="8" w:space="2"/>
        </w:pBdr>
        <w:spacing w:after="70" w:before="140"/>
      </w:pPr>
      <w:r>
        <w:rPr>
          <w:b/>
          <w:bCs/>
          <w:caps/>
          <w:sz w:val="22"/>
          <w:szCs w:val="22"/>
        </w:rPr>
        <w:t xml:space="preserve">Education</w:t>
      </w:r>
    </w:p>
    <w:p>
      <w:pPr>
        <w:spacing w:after="10"/>
      </w:pPr>
      <w:r>
        <w:rPr>
          <w:b/>
          <w:bCs/>
          <w:sz w:val="21"/>
          <w:szCs w:val="21"/>
        </w:rPr>
        <w:t xml:space="preserve">Bachelor of Architecture</w:t>
      </w:r>
      <w:r>
        <w:rPr>
          <w:b/>
          <w:bCs/>
          <w:sz w:val="21"/>
          <w:szCs w:val="21"/>
        </w:rPr>
        <w:ptab w:alignment="right" w:relativeTo="margin" w:leader="none"/>
        <w:t xml:space="preserve">Sept 2012 – May 2017</w:t>
      </w:r>
    </w:p>
    <w:p>
      <w:pPr>
        <w:spacing w:after="40"/>
      </w:pPr>
      <w:r>
        <w:rPr>
          <w:sz w:val="20"/>
          <w:szCs w:val="20"/>
        </w:rPr>
        <w:t xml:space="preserve">New Jersey Institute of Technology – Newark, NJ</w:t>
      </w:r>
    </w:p>
    <w:p>
      <w:pPr>
        <w:pBdr>
          <w:bottom w:val="single" w:color="1F3864" w:sz="8" w:space="2"/>
        </w:pBdr>
        <w:spacing w:after="70" w:before="140"/>
      </w:pPr>
      <w:r>
        <w:rPr>
          <w:b/>
          <w:bCs/>
          <w:caps/>
          <w:sz w:val="22"/>
          <w:szCs w:val="22"/>
        </w:rPr>
        <w:t xml:space="preserve">Certifications</w:t>
      </w:r>
    </w:p>
    <w:p>
      <w:pPr>
        <w:spacing w:after="30"/>
      </w:pPr>
      <w:r>
        <w:rPr>
          <w:b/>
          <w:bCs/>
          <w:sz w:val="20"/>
          <w:szCs w:val="20"/>
        </w:rPr>
        <w:t xml:space="preserve">Google</w:t>
      </w:r>
      <w:r>
        <w:rPr>
          <w:sz w:val="20"/>
          <w:szCs w:val="20"/>
        </w:rPr>
        <w:t xml:space="preserve"> — UX Design Professional Certificate</w:t>
      </w:r>
      <w:r>
        <w:rPr>
          <w:sz w:val="20"/>
          <w:szCs w:val="20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b/>
          <w:bCs/>
          <w:sz w:val="20"/>
          <w:szCs w:val="20"/>
        </w:rPr>
        <w:t xml:space="preserve">BrainStation</w:t>
      </w:r>
      <w:r>
        <w:rPr>
          <w:sz w:val="20"/>
          <w:szCs w:val="20"/>
        </w:rPr>
        <w:t xml:space="preserve"> — UX Design Bootcamp</w:t>
      </w:r>
      <w:r>
        <w:rPr>
          <w:sz w:val="20"/>
          <w:szCs w:val="20"/>
        </w:rPr>
        <w:ptab w:alignment="right" w:relativeTo="margin" w:leader="none"/>
        <w:t xml:space="preserve">2021</w:t>
      </w:r>
    </w:p>
    <w:p>
      <w:pPr>
        <w:pBdr>
          <w:bottom w:val="single" w:color="1F3864" w:sz="8" w:space="2"/>
        </w:pBdr>
        <w:spacing w:after="70" w:before="140"/>
      </w:pPr>
      <w:r>
        <w:rPr>
          <w:b/>
          <w:bCs/>
          <w:caps/>
          <w:sz w:val="22"/>
          <w:szCs w:val="22"/>
        </w:rPr>
        <w:t xml:space="preserve">Skills &amp; Others</w:t>
      </w:r>
    </w:p>
    <w:p>
      <w:pPr>
        <w:spacing w:after="40"/>
      </w:pPr>
      <w:r>
        <w:rPr>
          <w:b/>
          <w:bCs/>
          <w:sz w:val="20"/>
          <w:szCs w:val="20"/>
        </w:rPr>
        <w:t xml:space="preserve">Design Tools: </w:t>
      </w:r>
      <w:r>
        <w:rPr>
          <w:sz w:val="20"/>
          <w:szCs w:val="20"/>
        </w:rPr>
        <w:t xml:space="preserve">Figma (Auto Layout, Components, Design Systems), Sketch, Adobe XD, InVision, Axure RP, Adobe CC</w:t>
      </w:r>
    </w:p>
    <w:p>
      <w:pPr>
        <w:spacing w:after="40"/>
      </w:pPr>
      <w:r>
        <w:rPr>
          <w:b/>
          <w:bCs/>
          <w:sz w:val="20"/>
          <w:szCs w:val="20"/>
        </w:rPr>
        <w:t xml:space="preserve">CRM Platforms: </w:t>
      </w:r>
      <w:r>
        <w:rPr>
          <w:sz w:val="20"/>
          <w:szCs w:val="20"/>
        </w:rPr>
        <w:t xml:space="preserve">Salesforce — Experience Cloud, Marketing Cloud, Lightning (SLDS)</w:t>
      </w:r>
    </w:p>
    <w:p>
      <w:pPr>
        <w:spacing w:after="40"/>
      </w:pPr>
      <w:r>
        <w:rPr>
          <w:b/>
          <w:bCs/>
          <w:sz w:val="20"/>
          <w:szCs w:val="20"/>
        </w:rPr>
        <w:t xml:space="preserve">Frontend &amp; Code: </w:t>
      </w:r>
      <w:r>
        <w:rPr>
          <w:sz w:val="20"/>
          <w:szCs w:val="20"/>
        </w:rPr>
        <w:t xml:space="preserve">HTML5, CSS3, JavaScript, Liquid Templating, SQL, Webflow</w:t>
      </w:r>
    </w:p>
    <w:p>
      <w:pPr>
        <w:spacing w:after="40"/>
      </w:pPr>
      <w:r>
        <w:rPr>
          <w:b/>
          <w:bCs/>
          <w:sz w:val="20"/>
          <w:szCs w:val="20"/>
        </w:rPr>
        <w:t xml:space="preserve">Methods &amp; Frameworks: </w:t>
      </w:r>
      <w:r>
        <w:rPr>
          <w:sz w:val="20"/>
          <w:szCs w:val="20"/>
        </w:rPr>
        <w:t xml:space="preserve">UCD, A/B Testing, Usability Testing, Agile/Scrum, Heuristic Evaluation, WCAG 2.1 AA</w:t>
      </w:r>
    </w:p>
    <w:p>
      <w:pPr>
        <w:spacing w:after="40"/>
      </w:pPr>
      <w:r>
        <w:rPr>
          <w:b/>
          <w:bCs/>
          <w:sz w:val="20"/>
          <w:szCs w:val="20"/>
        </w:rPr>
        <w:t xml:space="preserve">UX Strategy: </w:t>
      </w:r>
      <w:r>
        <w:rPr>
          <w:sz w:val="20"/>
          <w:szCs w:val="20"/>
        </w:rPr>
        <w:t xml:space="preserve">Persona Development, User Journeys, Information Architecture, KPI Alignment</w:t>
      </w:r>
    </w:p>
    <w:p>
      <w:pPr>
        <w:spacing w:after="40"/>
      </w:pPr>
      <w:r>
        <w:rPr>
          <w:b/>
          <w:bCs/>
          <w:sz w:val="20"/>
          <w:szCs w:val="20"/>
        </w:rPr>
        <w:t xml:space="preserve">Leadership: </w:t>
      </w:r>
      <w:r>
        <w:rPr>
          <w:sz w:val="20"/>
          <w:szCs w:val="20"/>
        </w:rPr>
        <w:t xml:space="preserve">Stakeholder Collaboration, Product Strategy, Roadmapping, Mentorship</w:t>
      </w:r>
    </w:p>
    <w:sectPr>
      <w:pgSz w:w="12240" w:h="15840" w:orient="portrait"/>
      <w:pgMar w:top="620" w:right="720" w:bottom="6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wp8uzqhm_sfw3pti4_7k" Type="http://schemas.openxmlformats.org/officeDocument/2006/relationships/hyperlink" Target="mailto:omar@omarmhammouda.com" TargetMode="External"/><Relationship Id="rIdx-jrkmfx2ujcqjbiwub81" Type="http://schemas.openxmlformats.org/officeDocument/2006/relationships/hyperlink" Target="https://omarmhammouda.com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2026-07-07T17:41:04.072Z</dcterms:created>
  <dcterms:modified xsi:type="dcterms:W3CDTF">2026-07-07T17:41:04.073Z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